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权力责任清单表</w:t>
      </w:r>
    </w:p>
    <w:p/>
    <w:tbl>
      <w:tblPr>
        <w:tblStyle w:val="5"/>
        <w:tblpPr w:leftFromText="180" w:rightFromText="180" w:vertAnchor="text" w:horzAnchor="page" w:tblpXSpec="center" w:tblpY="623"/>
        <w:tblOverlap w:val="never"/>
        <w:tblW w:w="15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0"/>
        <w:gridCol w:w="1695"/>
        <w:gridCol w:w="2010"/>
        <w:gridCol w:w="930"/>
        <w:gridCol w:w="945"/>
        <w:gridCol w:w="2700"/>
        <w:gridCol w:w="2100"/>
        <w:gridCol w:w="258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权力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权力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权力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依据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责任事项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责任事项依据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追责情形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追责情形依据</w:t>
            </w:r>
          </w:p>
        </w:tc>
        <w:tc>
          <w:tcPr>
            <w:tcW w:w="825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消防安全检查、督促管理权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对学校消防安全检查、督促整改消防隐患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《中华人民共和国消防法》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《北京市企事业单位消防条例》《北京工业职业技术学院消防安全实施办法》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颜景春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消防安全管理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《中华人民共和国消防法》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《北京工业职业技术学院消防安全责任制》《北京工业职业技术学院消防安全实施办法》《保卫处岗位职责》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未按规定对学校二级单位进行消防安全检查、监督；未及时向上级领导汇报拒不执行“消防安全整改通知”的二级单位及该单位的主要领导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《北京工业职业技术学院消防安全管理规定》、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《北京工业职业技术学院消防安全实施办法》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安全稳定责任制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治安管理权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学校治安防范、巡逻、门卫的管理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《中华人民共和国治安管理处罚法》、《企事业单位保卫工作条例》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王瑞春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治安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《中华人民共和国治安管理处罚法》、《企事业单位保卫工作条例》《保卫处岗位职责》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未按规定做好学校的治安防范、巡逻、门卫管理工作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《北京工业职业技术学院治安安全管理规定》《北京工业职业技术学院校园门卫管理规定》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安全稳定责任制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学校安防设施管理权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校园安防工程管理 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150" w:afterAutospacing="0" w:line="435" w:lineRule="atLeast"/>
              <w:ind w:left="0" w:right="0" w:firstLine="0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《安全技术防范产品管理办法》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王瑞春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安防设施与固定资产管理</w:t>
            </w:r>
          </w:p>
        </w:tc>
        <w:tc>
          <w:tcPr>
            <w:tcW w:w="27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《安全技术防范产品管理办法》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《保卫处岗位职责》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学校的安防设施未及时维护更新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150" w:afterAutospacing="0" w:line="435" w:lineRule="atLeast"/>
              <w:ind w:left="0" w:right="0" w:firstLine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安全稳定责任制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户籍管理权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对学校集体户口迁出入的手续办理及日常管理</w:t>
            </w: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《北京市户籍管理制度》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巩家钰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27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《北京市户籍管理制度》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《保卫处岗位职责》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未按规定迁入或迁出师生的户籍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《北京市户籍管理制度》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安全稳定责任制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校园机动车通行管理权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校园车辆通行证审核、办理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《机动车出入校园管理办法》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刘丽娜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车证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学校制度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未按规定办理教师的车辆通行证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150" w:beforeAutospacing="0" w:after="15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《机动车出入校园管理办法》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安全稳定责任制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单</w:t>
      </w:r>
      <w:r>
        <w:rPr>
          <w:rFonts w:hint="eastAsia"/>
          <w:sz w:val="28"/>
          <w:szCs w:val="28"/>
        </w:rPr>
        <w:t>位</w:t>
      </w:r>
      <w:r>
        <w:rPr>
          <w:sz w:val="28"/>
          <w:szCs w:val="28"/>
        </w:rPr>
        <w:t>（部门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eastAsia="zh-CN"/>
        </w:rPr>
        <w:t>保卫处</w:t>
      </w:r>
      <w:r>
        <w:rPr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 xml:space="preserve">             编号：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填报人：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单位（部门）负责人：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A7"/>
    <w:rsid w:val="003552C3"/>
    <w:rsid w:val="003E2E4E"/>
    <w:rsid w:val="00F96FA7"/>
    <w:rsid w:val="0D9E077E"/>
    <w:rsid w:val="18BF773C"/>
    <w:rsid w:val="36733FCB"/>
    <w:rsid w:val="43016F7F"/>
    <w:rsid w:val="48DB1E04"/>
    <w:rsid w:val="4B6D5708"/>
    <w:rsid w:val="5A3A26A7"/>
    <w:rsid w:val="5E485EF4"/>
    <w:rsid w:val="5FAF4E01"/>
    <w:rsid w:val="67915966"/>
    <w:rsid w:val="68F11E80"/>
    <w:rsid w:val="742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82426-6AB3-417E-B8EE-9AE411223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</Company>
  <Pages>1</Pages>
  <Words>38</Words>
  <Characters>223</Characters>
  <Lines>1</Lines>
  <Paragraphs>1</Paragraphs>
  <ScaleCrop>false</ScaleCrop>
  <LinksUpToDate>false</LinksUpToDate>
  <CharactersWithSpaces>260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2017-08-15T03:54:00Z</dcterms:created>
  <dc:creator>zhanghomepc</dc:creator>
  <cp:lastModifiedBy>gjy</cp:lastModifiedBy>
  <cp:lastPrinted>2017-11-01T01:24:00Z</cp:lastPrinted>
  <dcterms:modified xsi:type="dcterms:W3CDTF">2017-11-14T07:18:13Z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